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18" w:rsidRDefault="00127C18" w:rsidP="00127C18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Информирование населения 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127C18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529D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</w:t>
      </w:r>
      <w:r w:rsidR="006719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127C18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 xml:space="preserve"> отопительно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 xml:space="preserve">, уборки территории МКД, 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водоснабжению и водоотведению 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92479F" w:rsidRPr="0092479F" w:rsidRDefault="004D71C9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2479F" w:rsidRPr="0092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479F" w:rsidRPr="0092479F">
        <w:rPr>
          <w:rFonts w:ascii="Times New Roman" w:hAnsi="Times New Roman" w:cs="Times New Roman"/>
          <w:sz w:val="28"/>
          <w:szCs w:val="28"/>
        </w:rPr>
        <w:t>0.2017г. в 10.00 проведен семинар с управляющими компаниями по вопросам жилищно-коммунального хозяйства.</w:t>
      </w:r>
    </w:p>
    <w:p w:rsidR="0092479F" w:rsidRDefault="0092479F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92479F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0742E" w:rsidRDefault="00692DF7" w:rsidP="00D0742E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семинаре приняли участие 10 чел.</w:t>
      </w:r>
    </w:p>
    <w:p w:rsidR="00842BF1" w:rsidRDefault="00842B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муниципальной программы «Формирование современной городской среды на 2017 год» проведены общие собрания жителей по благоустройству территорий многоквартирных домов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Проведены общественные обсуждения по благоустройству. Проект муниципальной программы и вся контактная информация по приоритетному проекту «Формирование комфортной городской среды» размещена на сайте администрации района. </w:t>
      </w:r>
      <w:r w:rsidR="00225DE3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программа на 2018-2022 год, она так же опубликована на сайте района.</w:t>
      </w:r>
    </w:p>
    <w:p w:rsidR="008636C3" w:rsidRDefault="008636C3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Партии «Единая Россия» «Управдом» 27 июня 2017 года был проведен обучающий семинар для координаторов партийного проекта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5A6D">
        <w:rPr>
          <w:rFonts w:ascii="Times New Roman" w:eastAsia="Times New Roman" w:hAnsi="Times New Roman" w:cs="Times New Roman"/>
          <w:sz w:val="28"/>
          <w:szCs w:val="28"/>
        </w:rPr>
        <w:t>, с целью повышения эффективности информационно-разъяснительной работы среди граждан в сфере жилищно-коммунального хозяйства.</w:t>
      </w:r>
    </w:p>
    <w:p w:rsidR="00B05A6D" w:rsidRPr="00B05A6D" w:rsidRDefault="00B05A6D" w:rsidP="00B05A6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На партийном проекте рассматривались следующие вопросы: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нормативах потребления коммунальных услуг в целях содержания общего имущества и порядок их начисления: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методике расчета норматива;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начисления платы.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порядке и очередности проведения  капитального ремонта в многоквартирных домах Челябинской области: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государственных органов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EBC">
        <w:rPr>
          <w:rFonts w:ascii="Times New Roman" w:hAnsi="Times New Roman" w:cs="Times New Roman"/>
          <w:sz w:val="28"/>
          <w:szCs w:val="28"/>
        </w:rPr>
        <w:t xml:space="preserve">об ответственности управляющих организаций, </w:t>
      </w:r>
      <w:proofErr w:type="spellStart"/>
      <w:r w:rsidR="00AC0EB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AC0EBC"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</w:t>
      </w:r>
      <w:r w:rsidR="00D0742E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 общественном контроле в сфере жилищно-коммунального хозяйства.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2479F">
        <w:rPr>
          <w:rFonts w:ascii="Times New Roman" w:hAnsi="Times New Roman" w:cs="Times New Roman"/>
          <w:sz w:val="28"/>
          <w:szCs w:val="28"/>
        </w:rPr>
        <w:t>О реализации партийного проекта «Городская среда»: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формирования программы;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подачи заявки.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42E" w:rsidRPr="0092479F" w:rsidRDefault="0092479F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24.06.2017г. в 10.00 проведен</w:t>
      </w:r>
      <w:r w:rsidR="00D0742E">
        <w:rPr>
          <w:rFonts w:ascii="Times New Roman" w:hAnsi="Times New Roman" w:cs="Times New Roman"/>
          <w:sz w:val="28"/>
          <w:szCs w:val="28"/>
        </w:rPr>
        <w:t xml:space="preserve"> </w:t>
      </w:r>
      <w:r w:rsidR="00D0742E" w:rsidRPr="0092479F">
        <w:rPr>
          <w:rFonts w:ascii="Times New Roman" w:hAnsi="Times New Roman" w:cs="Times New Roman"/>
          <w:sz w:val="28"/>
          <w:szCs w:val="28"/>
        </w:rPr>
        <w:t>семинар с управляющими компаниями по вопросам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со стороны Управления «Государственная жил</w:t>
      </w:r>
      <w:r w:rsidR="00F74B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щная инспекция»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ответственности собственников.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общественном контроле в сфере 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вовлечения жителей в общественный контроль;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содействии управляющих компаний общественным организациям в решении вопросов по жилищно-коммунальному хозяйству. 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 реализации партийного проекта «</w:t>
      </w:r>
      <w:r w:rsidR="00DE50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21BF1">
        <w:rPr>
          <w:rFonts w:ascii="Times New Roman" w:hAnsi="Times New Roman" w:cs="Times New Roman"/>
          <w:sz w:val="28"/>
          <w:szCs w:val="28"/>
        </w:rPr>
        <w:t>комфортной г</w:t>
      </w:r>
      <w:r>
        <w:rPr>
          <w:rFonts w:ascii="Times New Roman" w:hAnsi="Times New Roman" w:cs="Times New Roman"/>
          <w:sz w:val="28"/>
          <w:szCs w:val="28"/>
        </w:rPr>
        <w:t>ородск</w:t>
      </w:r>
      <w:r w:rsidR="00821BF1">
        <w:rPr>
          <w:rFonts w:ascii="Times New Roman" w:hAnsi="Times New Roman" w:cs="Times New Roman"/>
          <w:sz w:val="28"/>
          <w:szCs w:val="28"/>
        </w:rPr>
        <w:t>ой</w:t>
      </w:r>
      <w:r w:rsidR="0027140A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проведения общих собраний жителей;</w:t>
      </w:r>
    </w:p>
    <w:p w:rsidR="00045C0C" w:rsidRDefault="001F6BA5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общих собраний собственников по благоустройству т</w:t>
      </w:r>
      <w:r w:rsidR="00801788">
        <w:rPr>
          <w:rFonts w:ascii="Times New Roman" w:hAnsi="Times New Roman" w:cs="Times New Roman"/>
          <w:sz w:val="28"/>
          <w:szCs w:val="28"/>
        </w:rPr>
        <w:t>ерриторий многоквартирных домов.</w:t>
      </w:r>
    </w:p>
    <w:p w:rsidR="00225DE3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совещании приняли участие 12 чел.</w:t>
      </w:r>
    </w:p>
    <w:p w:rsidR="00692DF7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19.10.2017г. в 17.00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манжелинка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партийного проекта «Формирование комфортной городской среды» проведена</w:t>
      </w:r>
      <w:r w:rsidR="006D6770">
        <w:rPr>
          <w:rFonts w:ascii="Times New Roman" w:hAnsi="Times New Roman" w:cs="Times New Roman"/>
          <w:sz w:val="28"/>
          <w:szCs w:val="28"/>
        </w:rPr>
        <w:t xml:space="preserve"> разъяснительная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со старшими многоквартирных домов по вопросу подготовки документации для партийного проекта и проведение межевания земельных участков дворовых территорий.</w:t>
      </w:r>
      <w:r w:rsidR="00692DF7">
        <w:rPr>
          <w:rFonts w:ascii="Times New Roman" w:hAnsi="Times New Roman" w:cs="Times New Roman"/>
          <w:sz w:val="28"/>
          <w:szCs w:val="28"/>
        </w:rPr>
        <w:t xml:space="preserve"> В беседе приняли участие 16 человек.</w:t>
      </w: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24.10.2017г.</w:t>
      </w:r>
      <w:r w:rsidR="00D267A1">
        <w:rPr>
          <w:rFonts w:ascii="Times New Roman" w:hAnsi="Times New Roman" w:cs="Times New Roman"/>
          <w:sz w:val="28"/>
          <w:szCs w:val="28"/>
        </w:rPr>
        <w:t xml:space="preserve"> в 14.00 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5529DE">
        <w:rPr>
          <w:rFonts w:ascii="Times New Roman" w:hAnsi="Times New Roman" w:cs="Times New Roman"/>
          <w:sz w:val="28"/>
          <w:szCs w:val="28"/>
        </w:rPr>
        <w:t>дена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5529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грамотного потребителя по вопросам: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общих собраний по проекту «Формирова</w:t>
      </w:r>
      <w:r w:rsidR="005529DE">
        <w:rPr>
          <w:rFonts w:ascii="Times New Roman" w:hAnsi="Times New Roman" w:cs="Times New Roman"/>
          <w:sz w:val="28"/>
          <w:szCs w:val="28"/>
        </w:rPr>
        <w:t>ние комфортной городской среды».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многоквартирных домах в 2018 году</w:t>
      </w:r>
      <w:r w:rsidR="00052F73">
        <w:rPr>
          <w:rFonts w:ascii="Times New Roman" w:hAnsi="Times New Roman" w:cs="Times New Roman"/>
          <w:sz w:val="28"/>
          <w:szCs w:val="28"/>
        </w:rPr>
        <w:t xml:space="preserve"> и планам на 2019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оказания коммунальных услуг в частном секторе, в частности заключение договора по вывозу ТБО и др. вопросы по тематике ЖКХ</w:t>
      </w:r>
      <w:r w:rsidR="00F3645F">
        <w:rPr>
          <w:rFonts w:ascii="Times New Roman" w:hAnsi="Times New Roman" w:cs="Times New Roman"/>
          <w:sz w:val="28"/>
          <w:szCs w:val="28"/>
        </w:rPr>
        <w:t>.</w:t>
      </w:r>
      <w:r w:rsidR="00692DF7">
        <w:rPr>
          <w:rFonts w:ascii="Times New Roman" w:hAnsi="Times New Roman" w:cs="Times New Roman"/>
          <w:sz w:val="28"/>
          <w:szCs w:val="28"/>
        </w:rPr>
        <w:t xml:space="preserve"> Приняли участие 7 человек.</w:t>
      </w: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41A83" w:rsidRDefault="00D267A1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4D10">
        <w:rPr>
          <w:rFonts w:ascii="Times New Roman" w:hAnsi="Times New Roman" w:cs="Times New Roman"/>
          <w:sz w:val="28"/>
          <w:szCs w:val="28"/>
        </w:rPr>
        <w:lastRenderedPageBreak/>
        <w:t>07.</w:t>
      </w:r>
      <w:r>
        <w:rPr>
          <w:rFonts w:ascii="Times New Roman" w:hAnsi="Times New Roman" w:cs="Times New Roman"/>
          <w:sz w:val="28"/>
          <w:szCs w:val="28"/>
        </w:rPr>
        <w:t xml:space="preserve">11.2017г.  в 9.00 в рамках партийного проекта «Управдом» проведена </w:t>
      </w:r>
      <w:r w:rsidR="003B2690">
        <w:rPr>
          <w:rFonts w:ascii="Times New Roman" w:hAnsi="Times New Roman" w:cs="Times New Roman"/>
          <w:sz w:val="28"/>
          <w:szCs w:val="28"/>
        </w:rPr>
        <w:t xml:space="preserve">разъяснительная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беседа с </w:t>
      </w:r>
      <w:r w:rsidR="00B11A16">
        <w:rPr>
          <w:rFonts w:ascii="Times New Roman" w:hAnsi="Times New Roman" w:cs="Times New Roman"/>
          <w:sz w:val="28"/>
          <w:szCs w:val="28"/>
        </w:rPr>
        <w:t xml:space="preserve">управляющими компаниями </w:t>
      </w:r>
      <w:proofErr w:type="spellStart"/>
      <w:r w:rsidR="00B11A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B11A16">
        <w:rPr>
          <w:rFonts w:ascii="Times New Roman" w:hAnsi="Times New Roman" w:cs="Times New Roman"/>
          <w:sz w:val="28"/>
          <w:szCs w:val="28"/>
        </w:rPr>
        <w:t xml:space="preserve"> района и товариществом собственников жилья </w:t>
      </w:r>
      <w:r>
        <w:rPr>
          <w:rFonts w:ascii="Times New Roman" w:hAnsi="Times New Roman" w:cs="Times New Roman"/>
          <w:sz w:val="28"/>
          <w:szCs w:val="28"/>
        </w:rPr>
        <w:t xml:space="preserve">по вопросу начисления и заключения договоров по ОДН, а так же возможности оформления акта аварийной брони </w:t>
      </w:r>
      <w:r w:rsidR="00842ECF">
        <w:rPr>
          <w:rFonts w:ascii="Times New Roman" w:hAnsi="Times New Roman" w:cs="Times New Roman"/>
          <w:sz w:val="28"/>
          <w:szCs w:val="28"/>
        </w:rPr>
        <w:t xml:space="preserve">по электроснабжению </w:t>
      </w:r>
      <w:r>
        <w:rPr>
          <w:rFonts w:ascii="Times New Roman" w:hAnsi="Times New Roman" w:cs="Times New Roman"/>
          <w:sz w:val="28"/>
          <w:szCs w:val="28"/>
        </w:rPr>
        <w:t xml:space="preserve">для предприятий ЖКХ. </w:t>
      </w:r>
      <w:r w:rsidR="00692DF7">
        <w:rPr>
          <w:rFonts w:ascii="Times New Roman" w:hAnsi="Times New Roman" w:cs="Times New Roman"/>
          <w:sz w:val="28"/>
          <w:szCs w:val="28"/>
        </w:rPr>
        <w:t>Приняли участие 8 человек.</w:t>
      </w:r>
    </w:p>
    <w:p w:rsidR="00732F73" w:rsidRDefault="00732F7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ECF" w:rsidRDefault="00842ECF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20.11.2017г. в 15.00 в рамках партийного проекта «Формирование комфортной городской среды» проведено совещание с главами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 участием представителей БТИ по вопросу оформления документации для межевания земельных участков дворовых т</w:t>
      </w:r>
      <w:r w:rsidR="003B2690">
        <w:rPr>
          <w:rFonts w:ascii="Times New Roman" w:hAnsi="Times New Roman" w:cs="Times New Roman"/>
          <w:sz w:val="28"/>
          <w:szCs w:val="28"/>
        </w:rPr>
        <w:t>ерриторий многоквартирных домов.</w:t>
      </w:r>
      <w:r w:rsidR="00692DF7">
        <w:rPr>
          <w:rFonts w:ascii="Times New Roman" w:hAnsi="Times New Roman" w:cs="Times New Roman"/>
          <w:sz w:val="28"/>
          <w:szCs w:val="28"/>
        </w:rPr>
        <w:t xml:space="preserve"> Приняли участие 17 человек.</w:t>
      </w:r>
    </w:p>
    <w:p w:rsidR="00692DF7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2DF7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41A83" w:rsidRPr="00F3645F" w:rsidRDefault="00041A8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0FF1" w:rsidRPr="00D937AA" w:rsidRDefault="00D44D10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2</w:t>
      </w:r>
      <w:r w:rsidR="00E04817">
        <w:t>5</w:t>
      </w:r>
      <w:r w:rsidR="00206294">
        <w:t>.</w:t>
      </w:r>
      <w:r w:rsidR="00F3645F">
        <w:t>1</w:t>
      </w:r>
      <w:r>
        <w:t>2</w:t>
      </w:r>
      <w:r w:rsidR="00900FF1">
        <w:t>.201</w:t>
      </w:r>
      <w:r w:rsidR="00206294"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08" w:rsidRDefault="00F45B08" w:rsidP="00536144">
      <w:pPr>
        <w:spacing w:line="240" w:lineRule="auto"/>
      </w:pPr>
      <w:r>
        <w:separator/>
      </w:r>
    </w:p>
  </w:endnote>
  <w:endnote w:type="continuationSeparator" w:id="0">
    <w:p w:rsidR="00F45B08" w:rsidRDefault="00F45B08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08" w:rsidRDefault="00F45B08" w:rsidP="00536144">
      <w:pPr>
        <w:spacing w:line="240" w:lineRule="auto"/>
      </w:pPr>
      <w:r>
        <w:separator/>
      </w:r>
    </w:p>
  </w:footnote>
  <w:footnote w:type="continuationSeparator" w:id="0">
    <w:p w:rsidR="00F45B08" w:rsidRDefault="00F45B08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41A83"/>
    <w:rsid w:val="00045C0C"/>
    <w:rsid w:val="00052F73"/>
    <w:rsid w:val="0005591C"/>
    <w:rsid w:val="00097F30"/>
    <w:rsid w:val="000A55D5"/>
    <w:rsid w:val="000B270C"/>
    <w:rsid w:val="000D3EB0"/>
    <w:rsid w:val="000F4122"/>
    <w:rsid w:val="001048BD"/>
    <w:rsid w:val="00127C18"/>
    <w:rsid w:val="00167536"/>
    <w:rsid w:val="0017469A"/>
    <w:rsid w:val="001755D4"/>
    <w:rsid w:val="001F6BA5"/>
    <w:rsid w:val="00206294"/>
    <w:rsid w:val="00225DE3"/>
    <w:rsid w:val="0023787B"/>
    <w:rsid w:val="00240138"/>
    <w:rsid w:val="002500F2"/>
    <w:rsid w:val="00265762"/>
    <w:rsid w:val="0027140A"/>
    <w:rsid w:val="00283FEE"/>
    <w:rsid w:val="00284B9A"/>
    <w:rsid w:val="00297C42"/>
    <w:rsid w:val="002E486E"/>
    <w:rsid w:val="002F7E5D"/>
    <w:rsid w:val="00351F4E"/>
    <w:rsid w:val="003665BF"/>
    <w:rsid w:val="00373DE3"/>
    <w:rsid w:val="003B2690"/>
    <w:rsid w:val="003D1B42"/>
    <w:rsid w:val="00403A3C"/>
    <w:rsid w:val="00411A07"/>
    <w:rsid w:val="00421C00"/>
    <w:rsid w:val="00437740"/>
    <w:rsid w:val="00472CE1"/>
    <w:rsid w:val="004849F1"/>
    <w:rsid w:val="00496660"/>
    <w:rsid w:val="004D71C9"/>
    <w:rsid w:val="005276C8"/>
    <w:rsid w:val="00536144"/>
    <w:rsid w:val="005529DE"/>
    <w:rsid w:val="00560F79"/>
    <w:rsid w:val="00571873"/>
    <w:rsid w:val="00592B18"/>
    <w:rsid w:val="00594517"/>
    <w:rsid w:val="00597385"/>
    <w:rsid w:val="005C18E1"/>
    <w:rsid w:val="005D1B0D"/>
    <w:rsid w:val="005D5011"/>
    <w:rsid w:val="005E2DA7"/>
    <w:rsid w:val="005F5423"/>
    <w:rsid w:val="00600803"/>
    <w:rsid w:val="006316A1"/>
    <w:rsid w:val="00640F3A"/>
    <w:rsid w:val="0067195A"/>
    <w:rsid w:val="00682B6A"/>
    <w:rsid w:val="00687486"/>
    <w:rsid w:val="00691E15"/>
    <w:rsid w:val="00692DF7"/>
    <w:rsid w:val="006B1CDD"/>
    <w:rsid w:val="006C47DA"/>
    <w:rsid w:val="006D6770"/>
    <w:rsid w:val="00711119"/>
    <w:rsid w:val="00732F73"/>
    <w:rsid w:val="00734009"/>
    <w:rsid w:val="00783DB4"/>
    <w:rsid w:val="00794354"/>
    <w:rsid w:val="007E1097"/>
    <w:rsid w:val="00801788"/>
    <w:rsid w:val="00821BF1"/>
    <w:rsid w:val="00821ED4"/>
    <w:rsid w:val="00842BF1"/>
    <w:rsid w:val="00842ECF"/>
    <w:rsid w:val="008636C3"/>
    <w:rsid w:val="008933E5"/>
    <w:rsid w:val="008B0699"/>
    <w:rsid w:val="00900FF1"/>
    <w:rsid w:val="00923DB9"/>
    <w:rsid w:val="0092479F"/>
    <w:rsid w:val="00933BEA"/>
    <w:rsid w:val="009A7311"/>
    <w:rsid w:val="00A907E0"/>
    <w:rsid w:val="00AC0EBC"/>
    <w:rsid w:val="00AE4E55"/>
    <w:rsid w:val="00AE6915"/>
    <w:rsid w:val="00B0419D"/>
    <w:rsid w:val="00B05A6D"/>
    <w:rsid w:val="00B10E43"/>
    <w:rsid w:val="00B11A16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B6AE7"/>
    <w:rsid w:val="00CD51DE"/>
    <w:rsid w:val="00D0160E"/>
    <w:rsid w:val="00D0742E"/>
    <w:rsid w:val="00D267A1"/>
    <w:rsid w:val="00D276F1"/>
    <w:rsid w:val="00D44D10"/>
    <w:rsid w:val="00D460F9"/>
    <w:rsid w:val="00D46D53"/>
    <w:rsid w:val="00D9663C"/>
    <w:rsid w:val="00DB7D4E"/>
    <w:rsid w:val="00DC6F58"/>
    <w:rsid w:val="00DD62DF"/>
    <w:rsid w:val="00DE5016"/>
    <w:rsid w:val="00E04619"/>
    <w:rsid w:val="00E04817"/>
    <w:rsid w:val="00E453AD"/>
    <w:rsid w:val="00EA1F41"/>
    <w:rsid w:val="00EE7032"/>
    <w:rsid w:val="00F121B2"/>
    <w:rsid w:val="00F3645F"/>
    <w:rsid w:val="00F45B08"/>
    <w:rsid w:val="00F65F57"/>
    <w:rsid w:val="00F7114D"/>
    <w:rsid w:val="00F74BB5"/>
    <w:rsid w:val="00F7699E"/>
    <w:rsid w:val="00FB560B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94AA-7389-4DF7-BD3A-88E13405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191</cp:revision>
  <cp:lastPrinted>2017-02-06T06:15:00Z</cp:lastPrinted>
  <dcterms:created xsi:type="dcterms:W3CDTF">2014-01-27T02:45:00Z</dcterms:created>
  <dcterms:modified xsi:type="dcterms:W3CDTF">2017-12-25T03:37:00Z</dcterms:modified>
</cp:coreProperties>
</file>